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D0" w:rsidRPr="003963DA" w:rsidRDefault="00333D15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</w:rPr>
      </w:pPr>
      <w:bookmarkStart w:id="0" w:name="_czesc:S_rozdzial:XXX_art:233_par:5_pkt:"/>
      <w:bookmarkStart w:id="1" w:name="_GoBack"/>
      <w:bookmarkEnd w:id="0"/>
      <w:bookmarkEnd w:id="1"/>
      <w:r w:rsidRPr="003963DA">
        <w:rPr>
          <w:rFonts w:asciiTheme="minorHAnsi" w:hAnsiTheme="minorHAnsi"/>
          <w:sz w:val="22"/>
          <w:szCs w:val="22"/>
        </w:rPr>
        <w:t xml:space="preserve"> </w:t>
      </w:r>
    </w:p>
    <w:p w:rsidR="00D12BD0" w:rsidRPr="003963DA" w:rsidRDefault="004A3248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2"/>
          <w:vertAlign w:val="superscript"/>
        </w:rPr>
      </w:pPr>
      <w:r>
        <w:rPr>
          <w:rFonts w:asciiTheme="minorHAnsi" w:hAnsiTheme="minorHAnsi"/>
          <w:b/>
          <w:sz w:val="28"/>
          <w:szCs w:val="22"/>
        </w:rPr>
        <w:t>TARYFIKATOR STAWEK</w:t>
      </w:r>
    </w:p>
    <w:p w:rsidR="00217901" w:rsidRDefault="004A3248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2"/>
        </w:rPr>
      </w:pPr>
      <w:r w:rsidRPr="004A3248">
        <w:rPr>
          <w:rFonts w:asciiTheme="minorHAnsi" w:hAnsiTheme="minorHAnsi"/>
          <w:b/>
          <w:sz w:val="28"/>
          <w:szCs w:val="22"/>
        </w:rPr>
        <w:t>wypłacanych Niezależnemu Doradcy</w:t>
      </w:r>
    </w:p>
    <w:p w:rsidR="004A3248" w:rsidRPr="004A3248" w:rsidRDefault="004A3248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>za usługi świadczone na rze</w:t>
      </w:r>
      <w:r w:rsidR="00402E4C">
        <w:rPr>
          <w:rFonts w:asciiTheme="minorHAnsi" w:hAnsiTheme="minorHAnsi"/>
          <w:sz w:val="28"/>
          <w:szCs w:val="22"/>
        </w:rPr>
        <w:t>c</w:t>
      </w:r>
      <w:r>
        <w:rPr>
          <w:rFonts w:asciiTheme="minorHAnsi" w:hAnsiTheme="minorHAnsi"/>
          <w:sz w:val="28"/>
          <w:szCs w:val="22"/>
        </w:rPr>
        <w:t>z PPWB</w:t>
      </w:r>
    </w:p>
    <w:p w:rsidR="007D2F29" w:rsidRPr="003963DA" w:rsidRDefault="007D2F29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vertAlign w:val="superscript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4A3248" w:rsidTr="004A3248">
        <w:tc>
          <w:tcPr>
            <w:tcW w:w="6345" w:type="dxa"/>
          </w:tcPr>
          <w:p w:rsidR="004A3248" w:rsidRPr="004A3248" w:rsidRDefault="004A3248" w:rsidP="00686CB0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4A324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Rodzaj usługi </w:t>
            </w:r>
          </w:p>
        </w:tc>
        <w:tc>
          <w:tcPr>
            <w:tcW w:w="2867" w:type="dxa"/>
          </w:tcPr>
          <w:p w:rsidR="004A3248" w:rsidRPr="004A3248" w:rsidRDefault="004A3248" w:rsidP="004A3248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4A324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Maksymalna stawka </w:t>
            </w:r>
            <w:r w:rsidR="00402E4C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za godzinę zegarową doradztwa </w:t>
            </w:r>
            <w:r w:rsidRPr="004A3248">
              <w:rPr>
                <w:rFonts w:asciiTheme="minorHAnsi" w:hAnsiTheme="minorHAnsi"/>
                <w:b/>
                <w:iCs/>
                <w:sz w:val="22"/>
                <w:szCs w:val="22"/>
              </w:rPr>
              <w:t>ze wszystkimi narzutami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(PLN)</w:t>
            </w:r>
          </w:p>
        </w:tc>
      </w:tr>
      <w:tr w:rsidR="004A3248" w:rsidTr="004A3248">
        <w:tc>
          <w:tcPr>
            <w:tcW w:w="6345" w:type="dxa"/>
          </w:tcPr>
          <w:p w:rsidR="004A3248" w:rsidRDefault="004A3248" w:rsidP="004A3248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Usługa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Niezależnego Doradcy w zakresie diagnozy potrze</w:t>
            </w:r>
            <w:r w:rsidR="00402E4C">
              <w:rPr>
                <w:rFonts w:asciiTheme="minorHAnsi" w:hAnsiTheme="minorHAnsi"/>
                <w:iCs/>
                <w:sz w:val="22"/>
                <w:szCs w:val="22"/>
              </w:rPr>
              <w:t xml:space="preserve">b w zakresie wdrożenia usług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rozwojowych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,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wsparci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a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w sporządzaniu specyfikacji usługi specjalistycznej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i/lub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pomoc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y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w wyborze Dostawcy Usług (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 xml:space="preserve">usługi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na rzecz MŚP)</w:t>
            </w:r>
          </w:p>
        </w:tc>
        <w:tc>
          <w:tcPr>
            <w:tcW w:w="2867" w:type="dxa"/>
          </w:tcPr>
          <w:p w:rsidR="004A3248" w:rsidRDefault="004A3248" w:rsidP="00BE507B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  <w:r w:rsidR="00BE507B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0,00 zł</w:t>
            </w:r>
          </w:p>
        </w:tc>
      </w:tr>
      <w:tr w:rsidR="004A3248" w:rsidTr="004A3248">
        <w:tc>
          <w:tcPr>
            <w:tcW w:w="6345" w:type="dxa"/>
          </w:tcPr>
          <w:p w:rsidR="004A3248" w:rsidRDefault="004A3248" w:rsidP="00686CB0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Usługa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Niezależnego Doradcy w zakresie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wsparcia DU w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identyf</w:t>
            </w:r>
            <w:r w:rsidR="00402E4C">
              <w:rPr>
                <w:rFonts w:asciiTheme="minorHAnsi" w:hAnsiTheme="minorHAnsi"/>
                <w:iCs/>
                <w:sz w:val="22"/>
                <w:szCs w:val="22"/>
              </w:rPr>
              <w:t xml:space="preserve">ikacji i projektowania usług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rozwojowych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(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 xml:space="preserve">usługi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na rzecz DU)</w:t>
            </w:r>
          </w:p>
        </w:tc>
        <w:tc>
          <w:tcPr>
            <w:tcW w:w="2867" w:type="dxa"/>
          </w:tcPr>
          <w:p w:rsidR="004A3248" w:rsidRDefault="004A3248" w:rsidP="00BE507B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  <w:r w:rsidR="00BE507B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0,00 zł</w:t>
            </w:r>
          </w:p>
        </w:tc>
      </w:tr>
      <w:tr w:rsidR="004A3248" w:rsidTr="004A3248">
        <w:tc>
          <w:tcPr>
            <w:tcW w:w="6345" w:type="dxa"/>
          </w:tcPr>
          <w:p w:rsidR="004A3248" w:rsidRDefault="004A3248" w:rsidP="002A4216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Usługa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Niezależnego Doradcy w zakresie</w:t>
            </w:r>
            <w:r w:rsidR="002A4216">
              <w:rPr>
                <w:rFonts w:asciiTheme="minorHAnsi" w:hAnsiTheme="minorHAnsi"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wsparci</w:t>
            </w:r>
            <w:r w:rsidR="00156450">
              <w:rPr>
                <w:rFonts w:asciiTheme="minorHAnsi" w:hAnsiTheme="minorHAnsi"/>
                <w:iCs/>
                <w:sz w:val="22"/>
                <w:szCs w:val="22"/>
              </w:rPr>
              <w:t>a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w walid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>acji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, monitorowaniu i weryfik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>acji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świadczonych usług</w:t>
            </w:r>
            <w:r w:rsidR="002A4216">
              <w:rPr>
                <w:rFonts w:asciiTheme="minorHAnsi" w:hAnsiTheme="minorHAnsi"/>
                <w:iCs/>
                <w:sz w:val="22"/>
                <w:szCs w:val="22"/>
              </w:rPr>
              <w:t>;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i/lub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w zakresie negocjacji pomiędzy MŚP a DU w przypadku zaistnienia sporu dotyczącego realizacji usługi i/lub płatności za usługę</w:t>
            </w:r>
            <w:r w:rsidR="002A4216">
              <w:rPr>
                <w:rFonts w:asciiTheme="minorHAnsi" w:hAnsiTheme="minorHAnsi"/>
                <w:iCs/>
                <w:sz w:val="22"/>
                <w:szCs w:val="22"/>
              </w:rPr>
              <w:t>; i/lub w zakresie zadań związanych z udzielaniem i rozliczaniem dotacji; i/lub w zakresie działań związanych z zarzą</w:t>
            </w:r>
            <w:r w:rsidR="002A4216">
              <w:t>dzaniem i promocją projektu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 xml:space="preserve"> (</w:t>
            </w:r>
            <w:r w:rsidR="00F86733">
              <w:rPr>
                <w:rFonts w:asciiTheme="minorHAnsi" w:hAnsiTheme="minorHAnsi"/>
                <w:iCs/>
                <w:sz w:val="22"/>
                <w:szCs w:val="22"/>
              </w:rPr>
              <w:t xml:space="preserve">usługi </w:t>
            </w:r>
            <w:r w:rsidRPr="004A3248">
              <w:rPr>
                <w:rFonts w:asciiTheme="minorHAnsi" w:hAnsiTheme="minorHAnsi"/>
                <w:iCs/>
                <w:sz w:val="22"/>
                <w:szCs w:val="22"/>
              </w:rPr>
              <w:t>na rzecz Administratora)</w:t>
            </w:r>
          </w:p>
        </w:tc>
        <w:tc>
          <w:tcPr>
            <w:tcW w:w="2867" w:type="dxa"/>
          </w:tcPr>
          <w:p w:rsidR="004A3248" w:rsidRDefault="004A3248" w:rsidP="00BE507B">
            <w:pPr>
              <w:pStyle w:val="Tekstpodstawowywcity2"/>
              <w:widowControl/>
              <w:tabs>
                <w:tab w:val="num" w:pos="2340"/>
              </w:tabs>
              <w:spacing w:before="0" w:after="120"/>
              <w:ind w:left="0" w:firstLin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  <w:r w:rsidR="00BE507B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0,00 zł</w:t>
            </w:r>
          </w:p>
        </w:tc>
      </w:tr>
    </w:tbl>
    <w:p w:rsidR="00217901" w:rsidRDefault="00217901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Pr="003963DA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sectPr w:rsidR="004A3248" w:rsidRPr="003963DA" w:rsidSect="002C66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9E7" w:rsidRDefault="00C949E7" w:rsidP="00217901">
      <w:r>
        <w:separator/>
      </w:r>
    </w:p>
  </w:endnote>
  <w:endnote w:type="continuationSeparator" w:id="0">
    <w:p w:rsidR="00C949E7" w:rsidRDefault="00C949E7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DA" w:rsidRPr="003963DA" w:rsidRDefault="003963DA" w:rsidP="0030138F">
    <w:pPr>
      <w:pStyle w:val="Stopka"/>
      <w:pBdr>
        <w:top w:val="single" w:sz="4" w:space="1" w:color="auto"/>
      </w:pBdr>
      <w:rPr>
        <w:rFonts w:asciiTheme="minorHAnsi" w:hAnsiTheme="minorHAnsi"/>
        <w:i/>
      </w:rPr>
    </w:pPr>
    <w:r w:rsidRPr="003963DA">
      <w:rPr>
        <w:rFonts w:asciiTheme="minorHAnsi" w:hAnsiTheme="minorHAnsi"/>
        <w:i/>
      </w:rPr>
      <w:t>Wersja 1</w:t>
    </w:r>
    <w:r>
      <w:rPr>
        <w:rFonts w:asciiTheme="minorHAnsi" w:hAnsiTheme="minorHAnsi"/>
        <w:i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9E7" w:rsidRDefault="00C949E7" w:rsidP="00217901">
      <w:r>
        <w:separator/>
      </w:r>
    </w:p>
  </w:footnote>
  <w:footnote w:type="continuationSeparator" w:id="0">
    <w:p w:rsidR="00C949E7" w:rsidRDefault="00C949E7" w:rsidP="0021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DA" w:rsidRDefault="001518F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45E27AB7" wp14:editId="1C8A85F7">
          <wp:extent cx="5760720" cy="414609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Default="003963DA" w:rsidP="00C01432">
    <w:pPr>
      <w:pBdr>
        <w:bottom w:val="single" w:sz="4" w:space="1" w:color="auto"/>
      </w:pBdr>
      <w:spacing w:line="288" w:lineRule="auto"/>
      <w:jc w:val="both"/>
    </w:pPr>
    <w:r w:rsidRPr="003963DA">
      <w:rPr>
        <w:rFonts w:asciiTheme="minorHAnsi" w:hAnsiTheme="minorHAnsi"/>
        <w:b/>
        <w:sz w:val="20"/>
        <w:szCs w:val="22"/>
      </w:rPr>
      <w:t xml:space="preserve">Załącznik </w:t>
    </w:r>
    <w:r w:rsidR="00402E4C">
      <w:rPr>
        <w:rFonts w:asciiTheme="minorHAnsi" w:hAnsiTheme="minorHAnsi"/>
        <w:b/>
        <w:sz w:val="20"/>
        <w:szCs w:val="22"/>
      </w:rPr>
      <w:t>5</w:t>
    </w:r>
    <w:r w:rsidRPr="003963DA">
      <w:rPr>
        <w:rFonts w:asciiTheme="minorHAnsi" w:hAnsiTheme="minorHAnsi"/>
        <w:b/>
        <w:sz w:val="20"/>
        <w:szCs w:val="22"/>
      </w:rPr>
      <w:t xml:space="preserve"> </w:t>
    </w:r>
    <w:r w:rsidR="00C01432">
      <w:rPr>
        <w:rFonts w:asciiTheme="minorHAnsi" w:hAnsiTheme="minorHAnsi"/>
        <w:b/>
        <w:sz w:val="20"/>
        <w:szCs w:val="22"/>
      </w:rPr>
      <w:t>do Regulaminu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5117F"/>
    <w:rsid w:val="00081876"/>
    <w:rsid w:val="000915E7"/>
    <w:rsid w:val="000B558B"/>
    <w:rsid w:val="001106E4"/>
    <w:rsid w:val="0011288C"/>
    <w:rsid w:val="001161BB"/>
    <w:rsid w:val="00116C55"/>
    <w:rsid w:val="001171DE"/>
    <w:rsid w:val="00124190"/>
    <w:rsid w:val="00124451"/>
    <w:rsid w:val="001427EC"/>
    <w:rsid w:val="001436FD"/>
    <w:rsid w:val="00147AC0"/>
    <w:rsid w:val="001518FA"/>
    <w:rsid w:val="00156450"/>
    <w:rsid w:val="00170981"/>
    <w:rsid w:val="001F43FF"/>
    <w:rsid w:val="00217901"/>
    <w:rsid w:val="002243FA"/>
    <w:rsid w:val="002268C0"/>
    <w:rsid w:val="002A4216"/>
    <w:rsid w:val="002C666F"/>
    <w:rsid w:val="002D3B5C"/>
    <w:rsid w:val="0030138F"/>
    <w:rsid w:val="00333920"/>
    <w:rsid w:val="00333D15"/>
    <w:rsid w:val="00373A16"/>
    <w:rsid w:val="0038066C"/>
    <w:rsid w:val="00384E6E"/>
    <w:rsid w:val="00394988"/>
    <w:rsid w:val="003963DA"/>
    <w:rsid w:val="003C16A0"/>
    <w:rsid w:val="003E17F8"/>
    <w:rsid w:val="00402E4C"/>
    <w:rsid w:val="00442021"/>
    <w:rsid w:val="00444709"/>
    <w:rsid w:val="00474FD6"/>
    <w:rsid w:val="00491996"/>
    <w:rsid w:val="004A3248"/>
    <w:rsid w:val="004A46E9"/>
    <w:rsid w:val="004C5574"/>
    <w:rsid w:val="005321BA"/>
    <w:rsid w:val="00545B73"/>
    <w:rsid w:val="0055135B"/>
    <w:rsid w:val="005879D0"/>
    <w:rsid w:val="005B4E4E"/>
    <w:rsid w:val="005D2501"/>
    <w:rsid w:val="005F0B82"/>
    <w:rsid w:val="005F65CE"/>
    <w:rsid w:val="00616049"/>
    <w:rsid w:val="006245FE"/>
    <w:rsid w:val="00625B42"/>
    <w:rsid w:val="0064696E"/>
    <w:rsid w:val="00686CB0"/>
    <w:rsid w:val="006A01E5"/>
    <w:rsid w:val="006E125C"/>
    <w:rsid w:val="007336B1"/>
    <w:rsid w:val="00763CAC"/>
    <w:rsid w:val="007941A0"/>
    <w:rsid w:val="007D2F29"/>
    <w:rsid w:val="007D4B4A"/>
    <w:rsid w:val="007E171C"/>
    <w:rsid w:val="00834D2B"/>
    <w:rsid w:val="00842668"/>
    <w:rsid w:val="00846A7B"/>
    <w:rsid w:val="0085628A"/>
    <w:rsid w:val="00886CD6"/>
    <w:rsid w:val="008A06E8"/>
    <w:rsid w:val="008B4833"/>
    <w:rsid w:val="0092112F"/>
    <w:rsid w:val="00922C81"/>
    <w:rsid w:val="009237E7"/>
    <w:rsid w:val="00924098"/>
    <w:rsid w:val="009248EE"/>
    <w:rsid w:val="009360C9"/>
    <w:rsid w:val="00955C3F"/>
    <w:rsid w:val="00985CE6"/>
    <w:rsid w:val="009A0773"/>
    <w:rsid w:val="009B6805"/>
    <w:rsid w:val="009D1993"/>
    <w:rsid w:val="009E1936"/>
    <w:rsid w:val="009E1A94"/>
    <w:rsid w:val="009F072F"/>
    <w:rsid w:val="00A23E16"/>
    <w:rsid w:val="00A3599D"/>
    <w:rsid w:val="00A55FB6"/>
    <w:rsid w:val="00A64A8D"/>
    <w:rsid w:val="00AC1D6B"/>
    <w:rsid w:val="00AE58DA"/>
    <w:rsid w:val="00AF7D33"/>
    <w:rsid w:val="00B01680"/>
    <w:rsid w:val="00B207A5"/>
    <w:rsid w:val="00B41E2A"/>
    <w:rsid w:val="00B47427"/>
    <w:rsid w:val="00B6104F"/>
    <w:rsid w:val="00B65DA7"/>
    <w:rsid w:val="00BB58B3"/>
    <w:rsid w:val="00BB6BE2"/>
    <w:rsid w:val="00BB7253"/>
    <w:rsid w:val="00BC23C4"/>
    <w:rsid w:val="00BE507B"/>
    <w:rsid w:val="00C01432"/>
    <w:rsid w:val="00C214FD"/>
    <w:rsid w:val="00C26FBC"/>
    <w:rsid w:val="00C949E7"/>
    <w:rsid w:val="00CB3E32"/>
    <w:rsid w:val="00CE3610"/>
    <w:rsid w:val="00D12BD0"/>
    <w:rsid w:val="00D4070A"/>
    <w:rsid w:val="00DC480A"/>
    <w:rsid w:val="00DD43FF"/>
    <w:rsid w:val="00DE2690"/>
    <w:rsid w:val="00DE3331"/>
    <w:rsid w:val="00E32A98"/>
    <w:rsid w:val="00EB4BD2"/>
    <w:rsid w:val="00F30346"/>
    <w:rsid w:val="00F3521F"/>
    <w:rsid w:val="00F6269D"/>
    <w:rsid w:val="00F7713D"/>
    <w:rsid w:val="00F86733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FCD72387-A0FA-41DC-AEF8-FAC667BC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locked/>
    <w:rsid w:val="004A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2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216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2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B8D37-346E-412C-BEB6-95FABEC5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porczykowska</dc:creator>
  <cp:lastModifiedBy>Lorynowicz Anna</cp:lastModifiedBy>
  <cp:revision>15</cp:revision>
  <dcterms:created xsi:type="dcterms:W3CDTF">2018-03-02T06:34:00Z</dcterms:created>
  <dcterms:modified xsi:type="dcterms:W3CDTF">2019-09-06T08:27:00Z</dcterms:modified>
</cp:coreProperties>
</file>