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BD0" w:rsidRPr="003963DA" w:rsidRDefault="00D12BD0" w:rsidP="00147AC0">
      <w:pPr>
        <w:tabs>
          <w:tab w:val="left" w:pos="5040"/>
        </w:tabs>
        <w:spacing w:after="60"/>
        <w:rPr>
          <w:rFonts w:asciiTheme="minorHAnsi" w:hAnsiTheme="minorHAnsi"/>
          <w:sz w:val="22"/>
          <w:szCs w:val="22"/>
          <w:vertAlign w:val="superscript"/>
        </w:rPr>
      </w:pPr>
    </w:p>
    <w:p w:rsidR="00D12BD0" w:rsidRPr="003963DA" w:rsidRDefault="00D12BD0" w:rsidP="00147AC0">
      <w:pPr>
        <w:tabs>
          <w:tab w:val="left" w:pos="5040"/>
        </w:tabs>
        <w:spacing w:after="60"/>
        <w:rPr>
          <w:rFonts w:asciiTheme="minorHAnsi" w:hAnsiTheme="minorHAnsi"/>
          <w:sz w:val="22"/>
          <w:szCs w:val="22"/>
        </w:rPr>
      </w:pPr>
      <w:bookmarkStart w:id="0" w:name="_czesc:S_rozdzial:XXX_art:233_par:5_pkt:"/>
      <w:bookmarkEnd w:id="0"/>
    </w:p>
    <w:p w:rsidR="004A3248" w:rsidRPr="004A3248" w:rsidRDefault="00DE0627" w:rsidP="00147AC0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/>
          <w:sz w:val="28"/>
          <w:szCs w:val="22"/>
        </w:rPr>
      </w:pPr>
      <w:r w:rsidRPr="00DE0627">
        <w:rPr>
          <w:rFonts w:asciiTheme="minorHAnsi" w:hAnsiTheme="minorHAnsi"/>
          <w:b/>
          <w:sz w:val="28"/>
          <w:szCs w:val="22"/>
        </w:rPr>
        <w:t>Taryfikator limitów wsparcia dla Usług oferowanych przez PPWB</w:t>
      </w:r>
    </w:p>
    <w:p w:rsidR="007D2F29" w:rsidRPr="003963DA" w:rsidRDefault="007D2F29" w:rsidP="00147AC0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  <w:vertAlign w:val="superscript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5"/>
        <w:gridCol w:w="2867"/>
      </w:tblGrid>
      <w:tr w:rsidR="004A3248" w:rsidTr="004A3248">
        <w:tc>
          <w:tcPr>
            <w:tcW w:w="6345" w:type="dxa"/>
          </w:tcPr>
          <w:p w:rsid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b/>
                <w:sz w:val="28"/>
                <w:szCs w:val="22"/>
              </w:rPr>
            </w:pPr>
          </w:p>
          <w:p w:rsidR="004A3248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b/>
                <w:sz w:val="28"/>
                <w:szCs w:val="22"/>
              </w:rPr>
            </w:pPr>
            <w:r w:rsidRPr="00DE0627">
              <w:rPr>
                <w:rFonts w:asciiTheme="minorHAnsi" w:hAnsiTheme="minorHAnsi"/>
                <w:b/>
                <w:sz w:val="28"/>
                <w:szCs w:val="22"/>
              </w:rPr>
              <w:t>Typ</w:t>
            </w:r>
            <w:r w:rsidR="004A3248" w:rsidRPr="00DE0627">
              <w:rPr>
                <w:rFonts w:asciiTheme="minorHAnsi" w:hAnsiTheme="minorHAnsi"/>
                <w:b/>
                <w:sz w:val="28"/>
                <w:szCs w:val="22"/>
              </w:rPr>
              <w:t xml:space="preserve"> usługi </w:t>
            </w:r>
          </w:p>
          <w:p w:rsidR="00DE0627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b/>
                <w:sz w:val="28"/>
                <w:szCs w:val="22"/>
              </w:rPr>
            </w:pPr>
          </w:p>
        </w:tc>
        <w:tc>
          <w:tcPr>
            <w:tcW w:w="2867" w:type="dxa"/>
          </w:tcPr>
          <w:p w:rsid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rPr>
                <w:rFonts w:asciiTheme="minorHAnsi" w:hAnsiTheme="minorHAnsi"/>
                <w:b/>
                <w:sz w:val="28"/>
                <w:szCs w:val="22"/>
              </w:rPr>
            </w:pPr>
          </w:p>
          <w:p w:rsidR="00DE0627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rPr>
                <w:rFonts w:asciiTheme="minorHAnsi" w:hAnsiTheme="minorHAnsi"/>
                <w:b/>
                <w:sz w:val="28"/>
                <w:szCs w:val="22"/>
              </w:rPr>
            </w:pPr>
            <w:r w:rsidRPr="00DE0627">
              <w:rPr>
                <w:rFonts w:asciiTheme="minorHAnsi" w:hAnsiTheme="minorHAnsi"/>
                <w:b/>
                <w:sz w:val="28"/>
                <w:szCs w:val="22"/>
              </w:rPr>
              <w:t>Limit wsparcia</w:t>
            </w:r>
          </w:p>
        </w:tc>
      </w:tr>
      <w:tr w:rsidR="004A3248" w:rsidTr="00DE0627">
        <w:tc>
          <w:tcPr>
            <w:tcW w:w="6345" w:type="dxa"/>
          </w:tcPr>
          <w:p w:rsidR="004A3248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b/>
                <w:iCs/>
                <w:sz w:val="28"/>
                <w:szCs w:val="22"/>
              </w:rPr>
            </w:pPr>
            <w:r w:rsidRPr="00DE0627">
              <w:rPr>
                <w:rFonts w:asciiTheme="minorHAnsi" w:hAnsiTheme="minorHAnsi"/>
                <w:b/>
                <w:iCs/>
                <w:sz w:val="28"/>
                <w:szCs w:val="22"/>
              </w:rPr>
              <w:t>Standardowa</w:t>
            </w:r>
          </w:p>
          <w:p w:rsid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="Tahoma" w:hAnsi="Tahoma" w:cs="Tahoma"/>
                <w:bCs/>
                <w:i/>
              </w:rPr>
            </w:pPr>
          </w:p>
          <w:p w:rsid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="Tahoma" w:hAnsi="Tahoma" w:cs="Tahoma"/>
                <w:bCs/>
                <w:i/>
              </w:rPr>
            </w:pPr>
            <w:r w:rsidRPr="00DE0627">
              <w:rPr>
                <w:rFonts w:ascii="Tahoma" w:hAnsi="Tahoma" w:cs="Tahoma"/>
                <w:bCs/>
                <w:i/>
              </w:rPr>
              <w:t>Usługa rozwojowa, która może być oferowana w różnych przedsiębiorstwach bez konieczności dokonania istotnych modyfikacji jej zakresu.</w:t>
            </w:r>
          </w:p>
          <w:p w:rsidR="00DE0627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2867" w:type="dxa"/>
            <w:vAlign w:val="center"/>
          </w:tcPr>
          <w:p w:rsidR="004A3248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rPr>
                <w:rFonts w:asciiTheme="minorHAnsi" w:hAnsiTheme="minorHAnsi"/>
                <w:iCs/>
                <w:sz w:val="24"/>
                <w:szCs w:val="22"/>
              </w:rPr>
            </w:pPr>
            <w:r w:rsidRPr="00DE0627">
              <w:rPr>
                <w:rFonts w:asciiTheme="minorHAnsi" w:hAnsiTheme="minorHAnsi"/>
                <w:iCs/>
                <w:sz w:val="24"/>
                <w:szCs w:val="22"/>
              </w:rPr>
              <w:t>20 000,00</w:t>
            </w:r>
            <w:r w:rsidR="004A3248" w:rsidRPr="00DE0627">
              <w:rPr>
                <w:rFonts w:asciiTheme="minorHAnsi" w:hAnsiTheme="minorHAnsi"/>
                <w:iCs/>
                <w:sz w:val="24"/>
                <w:szCs w:val="22"/>
              </w:rPr>
              <w:t xml:space="preserve"> zł</w:t>
            </w:r>
          </w:p>
          <w:p w:rsidR="00DE0627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rPr>
                <w:rFonts w:asciiTheme="minorHAnsi" w:hAnsiTheme="minorHAnsi"/>
                <w:iCs/>
                <w:sz w:val="24"/>
                <w:szCs w:val="22"/>
              </w:rPr>
            </w:pPr>
            <w:r w:rsidRPr="00DE0627">
              <w:rPr>
                <w:rFonts w:asciiTheme="minorHAnsi" w:hAnsiTheme="minorHAnsi"/>
                <w:iCs/>
                <w:sz w:val="24"/>
                <w:szCs w:val="22"/>
              </w:rPr>
              <w:t>(kwota netto)</w:t>
            </w:r>
          </w:p>
        </w:tc>
      </w:tr>
      <w:tr w:rsidR="00DE0627" w:rsidTr="00DE0627">
        <w:tc>
          <w:tcPr>
            <w:tcW w:w="6345" w:type="dxa"/>
          </w:tcPr>
          <w:p w:rsidR="00DE0627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b/>
                <w:iCs/>
                <w:sz w:val="28"/>
                <w:szCs w:val="22"/>
              </w:rPr>
            </w:pPr>
            <w:r w:rsidRPr="00DE0627">
              <w:rPr>
                <w:rFonts w:asciiTheme="minorHAnsi" w:hAnsiTheme="minorHAnsi"/>
                <w:b/>
                <w:iCs/>
                <w:sz w:val="28"/>
                <w:szCs w:val="22"/>
              </w:rPr>
              <w:t>S</w:t>
            </w:r>
            <w:r w:rsidR="004C2071">
              <w:rPr>
                <w:rFonts w:asciiTheme="minorHAnsi" w:hAnsiTheme="minorHAnsi"/>
                <w:b/>
                <w:iCs/>
                <w:sz w:val="28"/>
                <w:szCs w:val="22"/>
              </w:rPr>
              <w:t>pecjalistyczna</w:t>
            </w:r>
          </w:p>
          <w:p w:rsid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="Tahoma" w:hAnsi="Tahoma" w:cs="Tahoma"/>
                <w:bCs/>
                <w:i/>
              </w:rPr>
            </w:pPr>
          </w:p>
          <w:p w:rsid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="Tahoma" w:hAnsi="Tahoma" w:cs="Tahoma"/>
                <w:bCs/>
                <w:i/>
              </w:rPr>
            </w:pPr>
            <w:r w:rsidRPr="00DE0627">
              <w:rPr>
                <w:rFonts w:ascii="Tahoma" w:hAnsi="Tahoma" w:cs="Tahoma"/>
                <w:bCs/>
                <w:i/>
              </w:rPr>
              <w:t>Usługa rozwojowa, która aby mogła być oferowana w różnych przedsiębiorstwach wymaga odrębnego zaprojektowania lub istotnych modyfikacji w zależności od potrzeb konkretnego MŚP (usługa „szyta na miarę”).</w:t>
            </w:r>
          </w:p>
          <w:p w:rsidR="00DE0627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  <w:tc>
          <w:tcPr>
            <w:tcW w:w="2867" w:type="dxa"/>
            <w:vAlign w:val="center"/>
          </w:tcPr>
          <w:p w:rsidR="00DE0627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rPr>
                <w:rFonts w:asciiTheme="minorHAnsi" w:hAnsiTheme="minorHAnsi"/>
                <w:iCs/>
                <w:sz w:val="24"/>
                <w:szCs w:val="22"/>
              </w:rPr>
            </w:pPr>
            <w:r w:rsidRPr="00DE0627">
              <w:rPr>
                <w:rFonts w:asciiTheme="minorHAnsi" w:hAnsiTheme="minorHAnsi"/>
                <w:iCs/>
                <w:sz w:val="24"/>
                <w:szCs w:val="22"/>
              </w:rPr>
              <w:t>100 000,00 zł</w:t>
            </w:r>
          </w:p>
          <w:p w:rsidR="00DE0627" w:rsidRPr="00DE0627" w:rsidRDefault="00DE0627" w:rsidP="00DE0627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rPr>
                <w:rFonts w:asciiTheme="minorHAnsi" w:hAnsiTheme="minorHAnsi"/>
                <w:iCs/>
                <w:sz w:val="24"/>
                <w:szCs w:val="22"/>
              </w:rPr>
            </w:pPr>
            <w:r w:rsidRPr="00DE0627">
              <w:rPr>
                <w:rFonts w:asciiTheme="minorHAnsi" w:hAnsiTheme="minorHAnsi"/>
                <w:iCs/>
                <w:sz w:val="24"/>
                <w:szCs w:val="22"/>
              </w:rPr>
              <w:t>(kwota netto)</w:t>
            </w:r>
          </w:p>
        </w:tc>
      </w:tr>
      <w:tr w:rsidR="007C53B1" w:rsidTr="00DE0627">
        <w:tc>
          <w:tcPr>
            <w:tcW w:w="6345" w:type="dxa"/>
          </w:tcPr>
          <w:p w:rsidR="007C53B1" w:rsidRDefault="007C53B1" w:rsidP="007C53B1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:rsidR="007C53B1" w:rsidRDefault="007C53B1" w:rsidP="007C53B1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  <w:jc w:val="both"/>
            </w:pPr>
            <w:r>
              <w:rPr>
                <w:rFonts w:ascii="Calibri" w:hAnsi="Calibri"/>
                <w:b/>
                <w:iCs/>
                <w:sz w:val="22"/>
                <w:szCs w:val="22"/>
              </w:rPr>
              <w:t>Początkowa intensywność wsparcia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dla Usługi IOB zarejestrowanej na PPWB po pozytywnej walidacji</w:t>
            </w:r>
          </w:p>
          <w:p w:rsidR="007C53B1" w:rsidRDefault="007C53B1" w:rsidP="007C53B1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2867" w:type="dxa"/>
            <w:vAlign w:val="center"/>
          </w:tcPr>
          <w:p w:rsidR="007C53B1" w:rsidRPr="00DE0627" w:rsidRDefault="007C53B1" w:rsidP="007C53B1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rPr>
                <w:rFonts w:asciiTheme="minorHAnsi" w:hAnsiTheme="minorHAnsi"/>
                <w:iCs/>
                <w:sz w:val="24"/>
                <w:szCs w:val="22"/>
              </w:rPr>
            </w:pPr>
            <w:r>
              <w:rPr>
                <w:rFonts w:ascii="Calibri" w:hAnsi="Calibri"/>
                <w:iCs/>
                <w:sz w:val="24"/>
                <w:szCs w:val="22"/>
              </w:rPr>
              <w:t>75%</w:t>
            </w:r>
          </w:p>
        </w:tc>
      </w:tr>
      <w:tr w:rsidR="007C53B1" w:rsidTr="00DE0627">
        <w:tc>
          <w:tcPr>
            <w:tcW w:w="6345" w:type="dxa"/>
          </w:tcPr>
          <w:p w:rsidR="007C53B1" w:rsidRDefault="007C53B1" w:rsidP="007C53B1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:rsidR="007C53B1" w:rsidRDefault="007C53B1" w:rsidP="007C53B1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  <w:jc w:val="both"/>
            </w:pPr>
            <w:r>
              <w:rPr>
                <w:rFonts w:ascii="Calibri" w:hAnsi="Calibri"/>
                <w:b/>
                <w:iCs/>
                <w:sz w:val="22"/>
                <w:szCs w:val="22"/>
              </w:rPr>
              <w:t>Maksymalna intensywność wsparcia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dla Usługi IOB zarejestrowanej na PPWB po pozytywnej walidacji, z uwzględnieniem działania Mechanizmu Popytowego.</w:t>
            </w:r>
          </w:p>
          <w:p w:rsidR="007C53B1" w:rsidRDefault="007C53B1" w:rsidP="007C53B1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2867" w:type="dxa"/>
            <w:vAlign w:val="center"/>
          </w:tcPr>
          <w:p w:rsidR="007C53B1" w:rsidRPr="00DE0627" w:rsidRDefault="007C53B1" w:rsidP="007C53B1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rPr>
                <w:rFonts w:asciiTheme="minorHAnsi" w:hAnsiTheme="minorHAnsi"/>
                <w:iCs/>
                <w:sz w:val="24"/>
                <w:szCs w:val="22"/>
              </w:rPr>
            </w:pPr>
            <w:r>
              <w:rPr>
                <w:rFonts w:ascii="Calibri" w:hAnsi="Calibri"/>
                <w:iCs/>
                <w:sz w:val="24"/>
                <w:szCs w:val="22"/>
              </w:rPr>
              <w:t>90%</w:t>
            </w:r>
          </w:p>
        </w:tc>
      </w:tr>
      <w:tr w:rsidR="007C53B1" w:rsidTr="00DE0627">
        <w:tc>
          <w:tcPr>
            <w:tcW w:w="6345" w:type="dxa"/>
          </w:tcPr>
          <w:p w:rsidR="007C53B1" w:rsidRDefault="007C53B1" w:rsidP="007C53B1">
            <w:pPr>
              <w:pStyle w:val="Tekstpodstawowywcity2"/>
              <w:widowControl/>
              <w:tabs>
                <w:tab w:val="left" w:pos="2340"/>
              </w:tabs>
              <w:spacing w:before="0"/>
              <w:ind w:left="0" w:firstLine="0"/>
              <w:jc w:val="both"/>
              <w:rPr>
                <w:rFonts w:ascii="Calibri" w:hAnsi="Calibri"/>
                <w:iCs/>
                <w:sz w:val="22"/>
                <w:szCs w:val="22"/>
              </w:rPr>
            </w:pPr>
          </w:p>
          <w:p w:rsidR="007C53B1" w:rsidRDefault="007C53B1" w:rsidP="007C53B1">
            <w:pPr>
              <w:pStyle w:val="Tekstpodstawowywcity2"/>
              <w:tabs>
                <w:tab w:val="left" w:pos="2340"/>
              </w:tabs>
              <w:spacing w:before="0"/>
              <w:ind w:left="0" w:firstLine="0"/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 w:val="22"/>
                <w:szCs w:val="22"/>
              </w:rPr>
              <w:t>Maksymalna intensywność wsparcia</w:t>
            </w:r>
            <w:r>
              <w:rPr>
                <w:rFonts w:ascii="Calibri" w:hAnsi="Calibri"/>
                <w:iCs/>
                <w:sz w:val="22"/>
                <w:szCs w:val="22"/>
              </w:rPr>
              <w:t xml:space="preserve"> dla Usługi zakupionej w wyniku postępowania konkurencyjnego </w:t>
            </w:r>
          </w:p>
          <w:p w:rsidR="007C53B1" w:rsidRPr="008A12A9" w:rsidRDefault="007C53B1" w:rsidP="007C53B1">
            <w:pPr>
              <w:pStyle w:val="Tekstpodstawowywcity2"/>
              <w:tabs>
                <w:tab w:val="left" w:pos="2340"/>
              </w:tabs>
              <w:ind w:left="0" w:firstLine="0"/>
              <w:jc w:val="both"/>
              <w:rPr>
                <w:rFonts w:ascii="Tahoma" w:hAnsi="Tahoma" w:cs="Tahoma"/>
                <w:bCs/>
                <w:i/>
              </w:rPr>
            </w:pPr>
            <w:r w:rsidRPr="008A12A9">
              <w:rPr>
                <w:rFonts w:ascii="Tahoma" w:hAnsi="Tahoma" w:cs="Tahoma"/>
                <w:bCs/>
                <w:i/>
              </w:rPr>
              <w:t xml:space="preserve">(zob. par. 16 Regulaminu udzielenia wsparcia dla </w:t>
            </w:r>
            <w:r>
              <w:rPr>
                <w:rFonts w:ascii="Tahoma" w:hAnsi="Tahoma" w:cs="Tahoma"/>
                <w:bCs/>
                <w:i/>
              </w:rPr>
              <w:t>MŚ</w:t>
            </w:r>
            <w:r w:rsidRPr="008A12A9">
              <w:rPr>
                <w:rFonts w:ascii="Tahoma" w:hAnsi="Tahoma" w:cs="Tahoma"/>
                <w:bCs/>
                <w:i/>
              </w:rPr>
              <w:t xml:space="preserve">P w ramach projektu pn. </w:t>
            </w:r>
            <w:r>
              <w:rPr>
                <w:rFonts w:ascii="Tahoma" w:hAnsi="Tahoma" w:cs="Tahoma"/>
                <w:bCs/>
                <w:i/>
              </w:rPr>
              <w:t>„</w:t>
            </w:r>
            <w:r w:rsidRPr="008A12A9">
              <w:rPr>
                <w:rFonts w:ascii="Tahoma" w:hAnsi="Tahoma" w:cs="Tahoma"/>
                <w:bCs/>
                <w:i/>
              </w:rPr>
              <w:t>Podkarpacka Platforma Wsparcia Biznesu</w:t>
            </w:r>
            <w:r>
              <w:rPr>
                <w:rFonts w:ascii="Tahoma" w:hAnsi="Tahoma" w:cs="Tahoma"/>
                <w:bCs/>
                <w:i/>
              </w:rPr>
              <w:t xml:space="preserve">” oraz par. 7 </w:t>
            </w:r>
            <w:r w:rsidRPr="008A12A9">
              <w:rPr>
                <w:rFonts w:ascii="Tahoma" w:hAnsi="Tahoma" w:cs="Tahoma"/>
                <w:bCs/>
                <w:i/>
              </w:rPr>
              <w:t xml:space="preserve">Regulaminu </w:t>
            </w:r>
            <w:r w:rsidRPr="002F3C0C">
              <w:rPr>
                <w:rFonts w:ascii="Tahoma" w:hAnsi="Tahoma" w:cs="Tahoma"/>
                <w:bCs/>
                <w:i/>
              </w:rPr>
              <w:t>naboru wniosków o kwalifikac</w:t>
            </w:r>
            <w:r>
              <w:rPr>
                <w:rFonts w:ascii="Tahoma" w:hAnsi="Tahoma" w:cs="Tahoma"/>
                <w:bCs/>
                <w:i/>
              </w:rPr>
              <w:t>ję</w:t>
            </w:r>
            <w:r w:rsidRPr="002F3C0C">
              <w:rPr>
                <w:rFonts w:ascii="Tahoma" w:hAnsi="Tahoma" w:cs="Tahoma"/>
                <w:bCs/>
                <w:i/>
              </w:rPr>
              <w:t xml:space="preserve"> </w:t>
            </w:r>
            <w:r>
              <w:rPr>
                <w:rFonts w:ascii="Tahoma" w:hAnsi="Tahoma" w:cs="Tahoma"/>
                <w:bCs/>
                <w:i/>
              </w:rPr>
              <w:t>D</w:t>
            </w:r>
            <w:r w:rsidRPr="002F3C0C">
              <w:rPr>
                <w:rFonts w:ascii="Tahoma" w:hAnsi="Tahoma" w:cs="Tahoma"/>
                <w:bCs/>
                <w:i/>
              </w:rPr>
              <w:t>ostaw</w:t>
            </w:r>
            <w:r>
              <w:rPr>
                <w:rFonts w:ascii="Tahoma" w:hAnsi="Tahoma" w:cs="Tahoma"/>
                <w:bCs/>
                <w:i/>
              </w:rPr>
              <w:t>có</w:t>
            </w:r>
            <w:r w:rsidRPr="002F3C0C">
              <w:rPr>
                <w:rFonts w:ascii="Tahoma" w:hAnsi="Tahoma" w:cs="Tahoma"/>
                <w:bCs/>
                <w:i/>
              </w:rPr>
              <w:t xml:space="preserve">w </w:t>
            </w:r>
            <w:r>
              <w:rPr>
                <w:rFonts w:ascii="Tahoma" w:hAnsi="Tahoma" w:cs="Tahoma"/>
                <w:bCs/>
                <w:i/>
              </w:rPr>
              <w:t>Usł</w:t>
            </w:r>
            <w:r w:rsidRPr="002F3C0C">
              <w:rPr>
                <w:rFonts w:ascii="Tahoma" w:hAnsi="Tahoma" w:cs="Tahoma"/>
                <w:bCs/>
                <w:i/>
              </w:rPr>
              <w:t xml:space="preserve">ug </w:t>
            </w:r>
            <w:r>
              <w:rPr>
                <w:rFonts w:ascii="Tahoma" w:hAnsi="Tahoma" w:cs="Tahoma"/>
                <w:bCs/>
                <w:i/>
              </w:rPr>
              <w:t>o</w:t>
            </w:r>
            <w:r w:rsidRPr="002F3C0C">
              <w:rPr>
                <w:rFonts w:ascii="Tahoma" w:hAnsi="Tahoma" w:cs="Tahoma"/>
                <w:bCs/>
                <w:i/>
              </w:rPr>
              <w:t>raz</w:t>
            </w:r>
            <w:r>
              <w:rPr>
                <w:rFonts w:ascii="Tahoma" w:hAnsi="Tahoma" w:cs="Tahoma"/>
                <w:bCs/>
                <w:i/>
              </w:rPr>
              <w:t xml:space="preserve"> </w:t>
            </w:r>
            <w:r w:rsidRPr="002F3C0C">
              <w:rPr>
                <w:rFonts w:ascii="Tahoma" w:hAnsi="Tahoma" w:cs="Tahoma"/>
                <w:bCs/>
                <w:i/>
              </w:rPr>
              <w:t>walidac</w:t>
            </w:r>
            <w:r>
              <w:rPr>
                <w:rFonts w:ascii="Tahoma" w:hAnsi="Tahoma" w:cs="Tahoma"/>
                <w:bCs/>
                <w:i/>
              </w:rPr>
              <w:t>ję</w:t>
            </w:r>
            <w:r w:rsidRPr="002F3C0C">
              <w:rPr>
                <w:rFonts w:ascii="Tahoma" w:hAnsi="Tahoma" w:cs="Tahoma"/>
                <w:bCs/>
                <w:i/>
              </w:rPr>
              <w:t xml:space="preserve"> </w:t>
            </w:r>
            <w:r>
              <w:rPr>
                <w:rFonts w:ascii="Tahoma" w:hAnsi="Tahoma" w:cs="Tahoma"/>
                <w:bCs/>
                <w:i/>
              </w:rPr>
              <w:t>Usł</w:t>
            </w:r>
            <w:r w:rsidRPr="002F3C0C">
              <w:rPr>
                <w:rFonts w:ascii="Tahoma" w:hAnsi="Tahoma" w:cs="Tahoma"/>
                <w:bCs/>
                <w:i/>
              </w:rPr>
              <w:t>ug</w:t>
            </w:r>
            <w:r w:rsidRPr="008A12A9">
              <w:rPr>
                <w:rFonts w:ascii="Tahoma" w:hAnsi="Tahoma" w:cs="Tahoma"/>
                <w:bCs/>
                <w:i/>
              </w:rPr>
              <w:t xml:space="preserve"> w ramach projektu pn. </w:t>
            </w:r>
            <w:r>
              <w:rPr>
                <w:rFonts w:ascii="Tahoma" w:hAnsi="Tahoma" w:cs="Tahoma"/>
                <w:bCs/>
                <w:i/>
              </w:rPr>
              <w:t>„</w:t>
            </w:r>
            <w:r w:rsidRPr="008A12A9">
              <w:rPr>
                <w:rFonts w:ascii="Tahoma" w:hAnsi="Tahoma" w:cs="Tahoma"/>
                <w:bCs/>
                <w:i/>
              </w:rPr>
              <w:t>Podkarpacka Platforma Wsparcia Biznesu</w:t>
            </w:r>
            <w:r>
              <w:rPr>
                <w:rFonts w:ascii="Tahoma" w:hAnsi="Tahoma" w:cs="Tahoma"/>
                <w:bCs/>
                <w:i/>
              </w:rPr>
              <w:t>”</w:t>
            </w:r>
            <w:r w:rsidRPr="008A12A9">
              <w:rPr>
                <w:rFonts w:ascii="Tahoma" w:hAnsi="Tahoma" w:cs="Tahoma"/>
                <w:bCs/>
                <w:i/>
              </w:rPr>
              <w:t>)</w:t>
            </w:r>
            <w:r>
              <w:rPr>
                <w:rFonts w:ascii="Tahoma" w:hAnsi="Tahoma" w:cs="Tahoma"/>
                <w:bCs/>
                <w:i/>
              </w:rPr>
              <w:t>.</w:t>
            </w:r>
          </w:p>
          <w:p w:rsidR="007C53B1" w:rsidRDefault="007C53B1" w:rsidP="007C53B1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2867" w:type="dxa"/>
            <w:vAlign w:val="center"/>
          </w:tcPr>
          <w:p w:rsidR="007C53B1" w:rsidRPr="00DE0627" w:rsidRDefault="007C53B1" w:rsidP="007C53B1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rPr>
                <w:rFonts w:asciiTheme="minorHAnsi" w:hAnsiTheme="minorHAnsi"/>
                <w:iCs/>
                <w:sz w:val="24"/>
                <w:szCs w:val="22"/>
              </w:rPr>
            </w:pPr>
            <w:r>
              <w:rPr>
                <w:rFonts w:ascii="Calibri" w:hAnsi="Calibri"/>
                <w:iCs/>
                <w:sz w:val="24"/>
                <w:szCs w:val="22"/>
              </w:rPr>
              <w:t>75%</w:t>
            </w:r>
          </w:p>
        </w:tc>
      </w:tr>
      <w:tr w:rsidR="007C53B1" w:rsidTr="00DE0627">
        <w:tc>
          <w:tcPr>
            <w:tcW w:w="6345" w:type="dxa"/>
          </w:tcPr>
          <w:p w:rsidR="007C53B1" w:rsidRDefault="007C53B1" w:rsidP="007C53B1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jc w:val="both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="Tahoma" w:eastAsia="Calibri" w:hAnsi="Tahoma" w:cs="Tahoma"/>
                <w:iCs/>
                <w:lang w:eastAsia="en-US"/>
              </w:rPr>
              <w:t xml:space="preserve">Stawka za godzinę pracy </w:t>
            </w:r>
            <w:r>
              <w:rPr>
                <w:rFonts w:ascii="Tahoma" w:eastAsia="Calibri" w:hAnsi="Tahoma" w:cs="Tahoma"/>
                <w:b/>
                <w:bCs/>
                <w:iCs/>
                <w:lang w:eastAsia="en-US"/>
              </w:rPr>
              <w:t>Niezależnego Doradcy</w:t>
            </w:r>
            <w:r>
              <w:rPr>
                <w:rFonts w:ascii="Tahoma" w:eastAsia="Calibri" w:hAnsi="Tahoma" w:cs="Tahoma"/>
                <w:iCs/>
                <w:lang w:eastAsia="en-US"/>
              </w:rPr>
              <w:t xml:space="preserve"> (</w:t>
            </w:r>
            <w:r>
              <w:rPr>
                <w:rFonts w:ascii="Calibri" w:eastAsia="Calibri" w:hAnsi="Calibri" w:cs="Tahoma"/>
                <w:iCs/>
                <w:sz w:val="22"/>
                <w:szCs w:val="22"/>
                <w:lang w:eastAsia="en-US"/>
              </w:rPr>
              <w:t>ze wszystkimi narzutami)</w:t>
            </w:r>
          </w:p>
        </w:tc>
        <w:tc>
          <w:tcPr>
            <w:tcW w:w="2867" w:type="dxa"/>
            <w:vAlign w:val="center"/>
          </w:tcPr>
          <w:p w:rsidR="007C53B1" w:rsidRPr="00DE0627" w:rsidRDefault="007C53B1" w:rsidP="007C53B1">
            <w:pPr>
              <w:pStyle w:val="Tekstpodstawowywcity2"/>
              <w:widowControl/>
              <w:tabs>
                <w:tab w:val="num" w:pos="2340"/>
              </w:tabs>
              <w:spacing w:before="0"/>
              <w:ind w:left="0" w:firstLine="0"/>
              <w:rPr>
                <w:rFonts w:asciiTheme="minorHAnsi" w:hAnsiTheme="minorHAnsi"/>
                <w:iCs/>
                <w:sz w:val="24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</w:rPr>
              <w:t>150,00 (brutto)</w:t>
            </w:r>
          </w:p>
        </w:tc>
      </w:tr>
    </w:tbl>
    <w:p w:rsidR="00217901" w:rsidRDefault="00217901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p w:rsidR="004A3248" w:rsidRDefault="004A3248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</w:p>
    <w:p w:rsidR="004A3248" w:rsidRPr="003963DA" w:rsidRDefault="004A3248" w:rsidP="00686CB0">
      <w:pPr>
        <w:pStyle w:val="Tekstpodstawowywcity2"/>
        <w:widowControl/>
        <w:tabs>
          <w:tab w:val="num" w:pos="2340"/>
        </w:tabs>
        <w:spacing w:before="0" w:after="120"/>
        <w:ind w:left="0" w:firstLine="0"/>
        <w:jc w:val="both"/>
        <w:rPr>
          <w:rFonts w:asciiTheme="minorHAnsi" w:hAnsiTheme="minorHAnsi"/>
          <w:iCs/>
          <w:sz w:val="22"/>
          <w:szCs w:val="22"/>
        </w:rPr>
      </w:pPr>
      <w:bookmarkStart w:id="1" w:name="_GoBack"/>
      <w:bookmarkEnd w:id="1"/>
    </w:p>
    <w:sectPr w:rsidR="004A3248" w:rsidRPr="003963DA" w:rsidSect="002C66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5E2" w:rsidRDefault="00F445E2" w:rsidP="00217901">
      <w:r>
        <w:separator/>
      </w:r>
    </w:p>
  </w:endnote>
  <w:endnote w:type="continuationSeparator" w:id="0">
    <w:p w:rsidR="00F445E2" w:rsidRDefault="00F445E2" w:rsidP="0021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3DA" w:rsidRPr="003963DA" w:rsidRDefault="003963DA" w:rsidP="0030138F">
    <w:pPr>
      <w:pStyle w:val="Stopka"/>
      <w:pBdr>
        <w:top w:val="single" w:sz="4" w:space="1" w:color="auto"/>
      </w:pBdr>
      <w:rPr>
        <w:rFonts w:asciiTheme="minorHAnsi" w:hAnsiTheme="minorHAnsi"/>
        <w:i/>
      </w:rPr>
    </w:pPr>
    <w:r w:rsidRPr="003963DA">
      <w:rPr>
        <w:rFonts w:asciiTheme="minorHAnsi" w:hAnsiTheme="minorHAnsi"/>
        <w:i/>
      </w:rPr>
      <w:t>Wersja 1</w:t>
    </w:r>
    <w:r>
      <w:rPr>
        <w:rFonts w:asciiTheme="minorHAnsi" w:hAnsiTheme="minorHAnsi"/>
        <w:i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5E2" w:rsidRDefault="00F445E2" w:rsidP="00217901">
      <w:r>
        <w:separator/>
      </w:r>
    </w:p>
  </w:footnote>
  <w:footnote w:type="continuationSeparator" w:id="0">
    <w:p w:rsidR="00F445E2" w:rsidRDefault="00F445E2" w:rsidP="00217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3DA" w:rsidRDefault="00952ED3" w:rsidP="005F0B82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  <w:r>
      <w:rPr>
        <w:noProof/>
      </w:rPr>
      <w:drawing>
        <wp:inline distT="0" distB="0" distL="0" distR="0" wp14:anchorId="6DA81F4C" wp14:editId="65C590B5">
          <wp:extent cx="5760720" cy="421640"/>
          <wp:effectExtent l="0" t="0" r="0" b="0"/>
          <wp:docPr id="3" name="Obraz 3" descr="http://www.rpo.podkarpackie.pl/images/10_Grafika_RPO/znaki/fepr-pl-podk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rpo.podkarpackie.pl/images/10_Grafika_RPO/znaki/fepr-pl-podk-ueefr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63DA" w:rsidRDefault="003963DA" w:rsidP="005F0B82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</w:p>
  <w:p w:rsidR="003963DA" w:rsidRDefault="003963DA" w:rsidP="005F0B82">
    <w:pPr>
      <w:pBdr>
        <w:bottom w:val="single" w:sz="4" w:space="1" w:color="auto"/>
      </w:pBdr>
      <w:spacing w:line="288" w:lineRule="auto"/>
      <w:jc w:val="both"/>
      <w:rPr>
        <w:b/>
        <w:sz w:val="20"/>
        <w:szCs w:val="22"/>
      </w:rPr>
    </w:pPr>
  </w:p>
  <w:p w:rsidR="003963DA" w:rsidRPr="00C67232" w:rsidRDefault="003963DA" w:rsidP="00C67232">
    <w:pPr>
      <w:pBdr>
        <w:bottom w:val="single" w:sz="4" w:space="1" w:color="auto"/>
      </w:pBdr>
      <w:spacing w:line="288" w:lineRule="auto"/>
      <w:jc w:val="right"/>
      <w:rPr>
        <w:rFonts w:ascii="Tahoma" w:hAnsi="Tahoma" w:cs="Tahoma"/>
        <w:i/>
      </w:rPr>
    </w:pPr>
    <w:r w:rsidRPr="00C67232">
      <w:rPr>
        <w:rFonts w:ascii="Tahoma" w:hAnsi="Tahoma" w:cs="Tahoma"/>
        <w:i/>
        <w:sz w:val="20"/>
        <w:szCs w:val="22"/>
      </w:rPr>
      <w:t xml:space="preserve">Załącznik </w:t>
    </w:r>
    <w:r w:rsidR="00572A13">
      <w:rPr>
        <w:rFonts w:ascii="Tahoma" w:hAnsi="Tahoma" w:cs="Tahoma"/>
        <w:i/>
        <w:sz w:val="20"/>
        <w:szCs w:val="22"/>
      </w:rPr>
      <w:t>4</w:t>
    </w:r>
    <w:r w:rsidRPr="00C67232">
      <w:rPr>
        <w:rFonts w:ascii="Tahoma" w:hAnsi="Tahoma" w:cs="Tahoma"/>
        <w:i/>
        <w:sz w:val="20"/>
        <w:szCs w:val="22"/>
      </w:rPr>
      <w:t xml:space="preserve"> </w:t>
    </w:r>
    <w:r w:rsidR="00C67232" w:rsidRPr="00C67232">
      <w:rPr>
        <w:rFonts w:ascii="Tahoma" w:hAnsi="Tahoma" w:cs="Tahoma"/>
        <w:i/>
        <w:sz w:val="20"/>
        <w:szCs w:val="22"/>
      </w:rPr>
      <w:t>do Regulaminu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B6F3D"/>
    <w:multiLevelType w:val="hybridMultilevel"/>
    <w:tmpl w:val="8142609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C0"/>
    <w:rsid w:val="0000047B"/>
    <w:rsid w:val="0005117F"/>
    <w:rsid w:val="00081876"/>
    <w:rsid w:val="000915E7"/>
    <w:rsid w:val="000B558B"/>
    <w:rsid w:val="001106E4"/>
    <w:rsid w:val="0011288C"/>
    <w:rsid w:val="001161BB"/>
    <w:rsid w:val="00116C55"/>
    <w:rsid w:val="001171DE"/>
    <w:rsid w:val="00124190"/>
    <w:rsid w:val="00124451"/>
    <w:rsid w:val="001427EC"/>
    <w:rsid w:val="001436FD"/>
    <w:rsid w:val="00147AC0"/>
    <w:rsid w:val="00156450"/>
    <w:rsid w:val="00170981"/>
    <w:rsid w:val="001F43FF"/>
    <w:rsid w:val="00217901"/>
    <w:rsid w:val="002243FA"/>
    <w:rsid w:val="002268C0"/>
    <w:rsid w:val="002C666F"/>
    <w:rsid w:val="002D3B5C"/>
    <w:rsid w:val="002E2B29"/>
    <w:rsid w:val="0030138F"/>
    <w:rsid w:val="00333920"/>
    <w:rsid w:val="00373A16"/>
    <w:rsid w:val="0038066C"/>
    <w:rsid w:val="00384E6E"/>
    <w:rsid w:val="00394988"/>
    <w:rsid w:val="003963DA"/>
    <w:rsid w:val="003C16A0"/>
    <w:rsid w:val="003C64D5"/>
    <w:rsid w:val="003E17F8"/>
    <w:rsid w:val="00402E4C"/>
    <w:rsid w:val="00442021"/>
    <w:rsid w:val="00444709"/>
    <w:rsid w:val="00470F07"/>
    <w:rsid w:val="00474FD6"/>
    <w:rsid w:val="00491996"/>
    <w:rsid w:val="004A3248"/>
    <w:rsid w:val="004A46E9"/>
    <w:rsid w:val="004C2071"/>
    <w:rsid w:val="004C5574"/>
    <w:rsid w:val="004C64F9"/>
    <w:rsid w:val="005321BA"/>
    <w:rsid w:val="00545B73"/>
    <w:rsid w:val="00572A13"/>
    <w:rsid w:val="005879D0"/>
    <w:rsid w:val="005B4E4E"/>
    <w:rsid w:val="005D2501"/>
    <w:rsid w:val="005F0B82"/>
    <w:rsid w:val="005F65CE"/>
    <w:rsid w:val="00616049"/>
    <w:rsid w:val="006245FE"/>
    <w:rsid w:val="00625B42"/>
    <w:rsid w:val="0064696E"/>
    <w:rsid w:val="00686CB0"/>
    <w:rsid w:val="006A01E5"/>
    <w:rsid w:val="006E125C"/>
    <w:rsid w:val="007336B1"/>
    <w:rsid w:val="00763CAC"/>
    <w:rsid w:val="00793A10"/>
    <w:rsid w:val="007941A0"/>
    <w:rsid w:val="007C53B1"/>
    <w:rsid w:val="007D2F29"/>
    <w:rsid w:val="007D4B4A"/>
    <w:rsid w:val="007E171C"/>
    <w:rsid w:val="00834D2B"/>
    <w:rsid w:val="00842668"/>
    <w:rsid w:val="00846A7B"/>
    <w:rsid w:val="0085628A"/>
    <w:rsid w:val="00886CD6"/>
    <w:rsid w:val="00893AE2"/>
    <w:rsid w:val="008A06E8"/>
    <w:rsid w:val="008B4833"/>
    <w:rsid w:val="0092112F"/>
    <w:rsid w:val="00922C81"/>
    <w:rsid w:val="009237E7"/>
    <w:rsid w:val="00924098"/>
    <w:rsid w:val="009248EE"/>
    <w:rsid w:val="009360C9"/>
    <w:rsid w:val="009479A4"/>
    <w:rsid w:val="00952ED3"/>
    <w:rsid w:val="00955C3F"/>
    <w:rsid w:val="00985CE6"/>
    <w:rsid w:val="009A0773"/>
    <w:rsid w:val="009B6805"/>
    <w:rsid w:val="009D1993"/>
    <w:rsid w:val="009E1936"/>
    <w:rsid w:val="009E1A94"/>
    <w:rsid w:val="009F072F"/>
    <w:rsid w:val="00A3599D"/>
    <w:rsid w:val="00A55FB6"/>
    <w:rsid w:val="00A64A8D"/>
    <w:rsid w:val="00AC1D6B"/>
    <w:rsid w:val="00AE58DA"/>
    <w:rsid w:val="00AF4304"/>
    <w:rsid w:val="00AF7D33"/>
    <w:rsid w:val="00B01680"/>
    <w:rsid w:val="00B207A5"/>
    <w:rsid w:val="00B41E2A"/>
    <w:rsid w:val="00B47427"/>
    <w:rsid w:val="00B6104F"/>
    <w:rsid w:val="00B65DA7"/>
    <w:rsid w:val="00BB58B3"/>
    <w:rsid w:val="00BB6BE2"/>
    <w:rsid w:val="00BB7253"/>
    <w:rsid w:val="00BC23C4"/>
    <w:rsid w:val="00C214FD"/>
    <w:rsid w:val="00C26FBC"/>
    <w:rsid w:val="00C67232"/>
    <w:rsid w:val="00C949E7"/>
    <w:rsid w:val="00CB3E32"/>
    <w:rsid w:val="00CE3610"/>
    <w:rsid w:val="00D12BD0"/>
    <w:rsid w:val="00D4070A"/>
    <w:rsid w:val="00DC480A"/>
    <w:rsid w:val="00DD43FF"/>
    <w:rsid w:val="00DE0627"/>
    <w:rsid w:val="00DE2690"/>
    <w:rsid w:val="00DE3331"/>
    <w:rsid w:val="00DF3D5F"/>
    <w:rsid w:val="00E32A98"/>
    <w:rsid w:val="00EB4BD2"/>
    <w:rsid w:val="00F30346"/>
    <w:rsid w:val="00F3521F"/>
    <w:rsid w:val="00F445E2"/>
    <w:rsid w:val="00F6269D"/>
    <w:rsid w:val="00F7713D"/>
    <w:rsid w:val="00F86733"/>
    <w:rsid w:val="00FB3851"/>
    <w:rsid w:val="00FC0E37"/>
    <w:rsid w:val="00FE6CD8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BBAF8880-9B78-435D-BE1A-24AE359C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7AC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147AC0"/>
    <w:pPr>
      <w:widowControl w:val="0"/>
      <w:spacing w:before="120"/>
      <w:ind w:left="431" w:hanging="431"/>
      <w:jc w:val="center"/>
    </w:pPr>
    <w:rPr>
      <w:rFonts w:ascii="Arial" w:hAnsi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47AC0"/>
    <w:rPr>
      <w:rFonts w:ascii="Arial" w:hAnsi="Arial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7336B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474F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4F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2D77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74F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2D77"/>
    <w:rPr>
      <w:rFonts w:ascii="Times New Roman" w:eastAsia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74F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D77"/>
    <w:rPr>
      <w:rFonts w:ascii="Times New Roman" w:eastAsia="Times New Roman" w:hAnsi="Times New Roman"/>
      <w:sz w:val="0"/>
      <w:szCs w:val="0"/>
    </w:rPr>
  </w:style>
  <w:style w:type="paragraph" w:styleId="Poprawka">
    <w:name w:val="Revision"/>
    <w:hidden/>
    <w:uiPriority w:val="99"/>
    <w:semiHidden/>
    <w:rsid w:val="00AC1D6B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179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901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941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locked/>
    <w:rsid w:val="004A3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E063.42E0CF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CE76C-CDD3-417D-867A-61B5DA734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porczykowska</dc:creator>
  <cp:lastModifiedBy>Lorynowicz Anna</cp:lastModifiedBy>
  <cp:revision>15</cp:revision>
  <dcterms:created xsi:type="dcterms:W3CDTF">2018-04-24T16:42:00Z</dcterms:created>
  <dcterms:modified xsi:type="dcterms:W3CDTF">2020-08-26T13:32:00Z</dcterms:modified>
</cp:coreProperties>
</file>